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Title"/>
        <w:ind w:left="-114" w:right="-505" w:firstLine="114"/>
        <w:jc w:val="right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ПРИЛОЖЕНИЕ № 1</w:t>
      </w:r>
    </w:p>
    <w:p>
      <w:pPr>
        <w:pStyle w:val="ConsTitle"/>
        <w:ind w:left="-114" w:right="-505" w:firstLine="114"/>
        <w:jc w:val="right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ConsTitle"/>
        <w:ind w:left="-114" w:right="-505" w:firstLine="114"/>
        <w:jc w:val="right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keepNext w:val="true"/>
        <w:keepLines/>
        <w:jc w:val="right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  <w:t xml:space="preserve">Технические требования на поставку </w:t>
      </w:r>
    </w:p>
    <w:p>
      <w:pPr>
        <w:pStyle w:val="Normal"/>
        <w:keepNext w:val="true"/>
        <w:keepLines/>
        <w:jc w:val="center"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color w:val="000000" w:themeColor="text1"/>
          <w:sz w:val="24"/>
          <w:szCs w:val="24"/>
          <w14:ligatures w14:val="none"/>
        </w:rPr>
      </w:pPr>
      <w:r>
        <w:rPr>
          <w:color w:val="000000" w:themeColor="text1"/>
          <w:sz w:val="24"/>
          <w:szCs w:val="24"/>
        </w:rPr>
        <w:t>«ОКПД2 26.30.11 Поставка оборудования средств диспетчерского и технологического управления для АО «ДГК» в г. Артеме, Приморский край»</w:t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pP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pPr>
      <w:r>
        <w:rPr>
          <w:color w:val="000000" w:themeColor="text1"/>
          <w:sz w:val="24"/>
          <w:szCs w:val="24"/>
        </w:rPr>
        <w:t>Лот № 32007044-РЕМ ДИТ-2026-ДГК</w:t>
      </w:r>
    </w:p>
    <w:p>
      <w:pPr>
        <w:pStyle w:val="Normal"/>
        <w:widowControl w:val="false"/>
        <w:spacing w:before="120" w:after="120"/>
        <w:jc w:val="center"/>
        <w:rPr>
          <w:rStyle w:val="Style8"/>
          <w:b w:val="false"/>
          <w:bCs w:val="false"/>
          <w:color w:val="000000" w:themeColor="text1"/>
          <w:sz w:val="28"/>
          <w:szCs w:val="28"/>
        </w:rPr>
      </w:pPr>
      <w:r>
        <w:rPr>
          <w:b w:val="false"/>
          <w:bCs w:val="false"/>
          <w:color w:val="000000" w:themeColor="text1"/>
          <w:sz w:val="28"/>
          <w:szCs w:val="28"/>
        </w:rPr>
      </w:r>
    </w:p>
    <w:p>
      <w:pPr>
        <w:pStyle w:val="Normal"/>
        <w:keepNext w:val="true"/>
        <w:keepLine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</w:p>
    <w:p>
      <w:pPr>
        <w:pStyle w:val="Normal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br w:type="page"/>
      </w:r>
    </w:p>
    <w:p>
      <w:pPr>
        <w:pStyle w:val="Normal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СОДЕРЖАНИЕ</w:t>
      </w:r>
    </w:p>
    <w:p>
      <w:pPr>
        <w:pStyle w:val="Normal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tbl>
      <w:tblPr>
        <w:tblStyle w:val="905"/>
        <w:tblW w:w="10064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566"/>
        <w:gridCol w:w="9497"/>
      </w:tblGrid>
      <w:tr>
        <w:trPr/>
        <w:tc>
          <w:tcPr>
            <w:tcW w:w="100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СОДЕРЖАНИЕ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94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370" w:hRule="atLeast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1.</w:t>
            </w:r>
          </w:p>
        </w:tc>
        <w:tc>
          <w:tcPr>
            <w:tcW w:w="94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Общие сведения</w:t>
            </w:r>
          </w:p>
        </w:tc>
      </w:tr>
      <w:tr>
        <w:trPr/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eastAsia="Times New Roman" w:cs="Times New Roman"/>
                <w:b w:val="false"/>
                <w:i/>
                <w:i/>
                <w:iCs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vertAlign w:val="baseline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1.1. </w:t>
            </w:r>
          </w:p>
        </w:tc>
        <w:tc>
          <w:tcPr>
            <w:tcW w:w="94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Наименование закупаемой продукции</w:t>
            </w:r>
          </w:p>
        </w:tc>
      </w:tr>
      <w:tr>
        <w:trPr/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1.2.</w:t>
            </w:r>
          </w:p>
        </w:tc>
        <w:tc>
          <w:tcPr>
            <w:tcW w:w="94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Цель использования закупаемой продукции </w:t>
            </w:r>
          </w:p>
        </w:tc>
      </w:tr>
      <w:tr>
        <w:trPr/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1.3.</w:t>
            </w:r>
          </w:p>
        </w:tc>
        <w:tc>
          <w:tcPr>
            <w:tcW w:w="94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Существующее положение </w:t>
            </w:r>
          </w:p>
        </w:tc>
      </w:tr>
      <w:tr>
        <w:trPr>
          <w:trHeight w:val="444" w:hRule="atLeast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2.</w:t>
            </w:r>
          </w:p>
        </w:tc>
        <w:tc>
          <w:tcPr>
            <w:tcW w:w="94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Требования к продукции</w:t>
            </w:r>
          </w:p>
        </w:tc>
      </w:tr>
      <w:tr>
        <w:trPr>
          <w:trHeight w:val="425" w:hRule="atLeast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2.1.</w:t>
            </w:r>
          </w:p>
        </w:tc>
        <w:tc>
          <w:tcPr>
            <w:tcW w:w="94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Требования к объемам и срокам поставки</w:t>
            </w:r>
          </w:p>
        </w:tc>
      </w:tr>
      <w:tr>
        <w:trPr>
          <w:trHeight w:val="425" w:hRule="atLeast"/>
        </w:trPr>
        <w:tc>
          <w:tcPr>
            <w:tcW w:w="100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2.1.1. Перечень и объем закупаемой продукции</w:t>
            </w:r>
          </w:p>
        </w:tc>
      </w:tr>
      <w:tr>
        <w:trPr>
          <w:trHeight w:val="425" w:hRule="atLeast"/>
        </w:trPr>
        <w:tc>
          <w:tcPr>
            <w:tcW w:w="100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2.1.2.     Требования к срокам поставки продукции </w:t>
            </w:r>
          </w:p>
        </w:tc>
      </w:tr>
      <w:tr>
        <w:trPr>
          <w:trHeight w:val="425" w:hRule="atLeast"/>
        </w:trPr>
        <w:tc>
          <w:tcPr>
            <w:tcW w:w="100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Таблица 1.1 Требования по срокам поставки продукции</w:t>
            </w:r>
          </w:p>
        </w:tc>
      </w:tr>
      <w:tr>
        <w:trPr>
          <w:trHeight w:val="425" w:hRule="atLeast"/>
        </w:trPr>
        <w:tc>
          <w:tcPr>
            <w:tcW w:w="100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Таблица 1.2 Требования по срокам оказания сопутствующих услуг</w:t>
            </w:r>
          </w:p>
        </w:tc>
      </w:tr>
      <w:tr>
        <w:trPr>
          <w:trHeight w:val="425" w:hRule="atLeast"/>
        </w:trPr>
        <w:tc>
          <w:tcPr>
            <w:tcW w:w="100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>Таблица 3. Дополнительные требования к продукции</w:t>
            </w:r>
          </w:p>
        </w:tc>
      </w:tr>
      <w:tr>
        <w:trPr>
          <w:trHeight w:val="567" w:hRule="atLeast"/>
        </w:trPr>
        <w:tc>
          <w:tcPr>
            <w:tcW w:w="100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3. </w:t>
            </w: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Требования к документации по ценообразованию на этапе закупки</w:t>
            </w:r>
          </w:p>
        </w:tc>
      </w:tr>
      <w:tr>
        <w:trPr/>
        <w:tc>
          <w:tcPr>
            <w:tcW w:w="100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4. </w:t>
            </w: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Требования к документации по ценообразованию на этапе заключения (исполнения) договора</w:t>
            </w:r>
          </w:p>
        </w:tc>
      </w:tr>
      <w:tr>
        <w:trPr>
          <w:trHeight w:val="490" w:hRule="atLeast"/>
        </w:trPr>
        <w:tc>
          <w:tcPr>
            <w:tcW w:w="100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5. </w:t>
            </w: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 xml:space="preserve">Приложения </w:t>
            </w:r>
          </w:p>
        </w:tc>
      </w:tr>
    </w:tbl>
    <w:p>
      <w:pPr>
        <w:pStyle w:val="Heading2"/>
        <w:numPr>
          <w:ilvl w:val="0"/>
          <w:numId w:val="0"/>
        </w:numPr>
        <w:ind w:left="0" w:hanging="0"/>
        <w:rPr>
          <w:b w:val="false"/>
          <w:i/>
          <w:i/>
          <w:color w:val="000000" w:themeColor="text1"/>
        </w:rPr>
      </w:pPr>
      <w:r>
        <w:rPr>
          <w:b w:val="false"/>
          <w:i/>
          <w:color w:val="000000" w:themeColor="text1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aps/>
          <w:color w:val="000000" w:themeColor="text1"/>
          <w:sz w:val="24"/>
          <w:szCs w:val="24"/>
        </w:rPr>
      </w:pPr>
      <w:bookmarkStart w:id="0" w:name="_Toc161133572"/>
      <w:bookmarkStart w:id="1" w:name="_Toc51339692"/>
      <w:r>
        <w:rPr>
          <w:color w:val="000000" w:themeColor="text1"/>
          <w:sz w:val="24"/>
          <w:szCs w:val="24"/>
          <w:lang w:val="ru-RU"/>
        </w:rPr>
        <w:t>Общие сведения</w:t>
      </w:r>
      <w:bookmarkEnd w:id="0"/>
      <w:bookmarkEnd w:id="1"/>
    </w:p>
    <w:p>
      <w:pPr>
        <w:pStyle w:val="Heading4"/>
        <w:numPr>
          <w:ilvl w:val="1"/>
          <w:numId w:val="3"/>
        </w:numPr>
        <w:rPr>
          <w:color w:val="000000" w:themeColor="text1"/>
        </w:rPr>
      </w:pPr>
      <w:bookmarkStart w:id="2" w:name="_Toc161133574"/>
      <w:r>
        <w:rPr>
          <w:color w:val="000000" w:themeColor="text1"/>
        </w:rPr>
        <w:t>Наименование закупаемой продукции</w:t>
      </w:r>
      <w:bookmarkEnd w:id="2"/>
    </w:p>
    <w:p>
      <w:pPr>
        <w:pStyle w:val="Normal"/>
        <w:rPr>
          <w:rStyle w:val="Style8"/>
          <w:b w:val="false"/>
          <w:bCs w:val="false"/>
          <w:i w:val="false"/>
          <w:i w:val="false"/>
          <w:color w:val="000000" w:themeColor="text1"/>
          <w:sz w:val="24"/>
          <w:szCs w:val="24"/>
        </w:rPr>
      </w:pPr>
      <w:r>
        <w:rPr>
          <w:rFonts w:eastAsia="Calibri"/>
          <w:b w:val="false"/>
          <w:bCs w:val="false"/>
          <w:color w:val="000000" w:themeColor="text1"/>
          <w:sz w:val="24"/>
          <w:szCs w:val="24"/>
        </w:rPr>
        <w:t>ОКПД2 26.30.11 Поставка оборудования средств диспетчерского и технологического управления для АО «ДГК» в г. Артеме, Приморский край</w:t>
      </w:r>
    </w:p>
    <w:p>
      <w:pPr>
        <w:pStyle w:val="Heading4"/>
        <w:numPr>
          <w:ilvl w:val="1"/>
          <w:numId w:val="3"/>
        </w:numPr>
        <w:spacing w:before="240" w:after="60"/>
        <w:ind w:left="431" w:hanging="431"/>
        <w:rPr>
          <w:color w:val="000000" w:themeColor="text1"/>
        </w:rPr>
      </w:pPr>
      <w:bookmarkStart w:id="3" w:name="_Toc161133575"/>
      <w:bookmarkStart w:id="4" w:name="_Toc46743507"/>
      <w:r>
        <w:rPr>
          <w:color w:val="000000" w:themeColor="text1"/>
        </w:rPr>
        <w:t xml:space="preserve">Цель </w:t>
      </w:r>
      <w:bookmarkEnd w:id="4"/>
      <w:r>
        <w:rPr>
          <w:color w:val="000000" w:themeColor="text1"/>
          <w:lang w:val="ru-RU"/>
        </w:rPr>
        <w:t>использования закупаемой продукции</w:t>
      </w:r>
      <w:bookmarkEnd w:id="3"/>
      <w:r>
        <w:rPr>
          <w:color w:val="000000" w:themeColor="text1"/>
          <w:lang w:val="ru-RU"/>
        </w:rPr>
        <w:t xml:space="preserve"> </w:t>
      </w:r>
    </w:p>
    <w:p>
      <w:pPr>
        <w:pStyle w:val="Normal"/>
        <w:rPr>
          <w:color w:val="000000" w:themeColor="text1"/>
        </w:rPr>
      </w:pPr>
      <w:r>
        <w:rPr>
          <w:rFonts w:eastAsia="Calibri"/>
          <w:i/>
          <w:color w:val="000000" w:themeColor="text1"/>
          <w:sz w:val="24"/>
          <w:szCs w:val="24"/>
        </w:rPr>
        <w:t>Обеспечение функционирования оборудования средств диспетчерского и технологического управления для АО «ДГК» в г. Артеме, Приморский край</w:t>
      </w:r>
    </w:p>
    <w:p>
      <w:pPr>
        <w:pStyle w:val="Heading4"/>
        <w:numPr>
          <w:ilvl w:val="1"/>
          <w:numId w:val="3"/>
        </w:numPr>
        <w:rPr>
          <w:color w:val="000000" w:themeColor="text1"/>
        </w:rPr>
      </w:pPr>
      <w:bookmarkStart w:id="5" w:name="_Toc161133576"/>
      <w:bookmarkStart w:id="6" w:name="_Toc46743508"/>
      <w:r>
        <w:rPr>
          <w:color w:val="000000" w:themeColor="text1"/>
        </w:rPr>
        <w:t>Существующее положение</w:t>
      </w:r>
      <w:bookmarkEnd w:id="5"/>
      <w:bookmarkEnd w:id="6"/>
      <w:r>
        <w:rPr>
          <w:color w:val="000000" w:themeColor="text1"/>
          <w:lang w:val="ru-RU"/>
        </w:rPr>
        <w:t xml:space="preserve"> </w:t>
      </w:r>
    </w:p>
    <w:p>
      <w:pPr>
        <w:pStyle w:val="Normal"/>
        <w:widowControl w:val="false"/>
        <w:shd w:val="clear" w:color="FFFFFF" w:themeColor="background1" w:fill="FFFFFF" w:themeFill="background1"/>
        <w:tabs>
          <w:tab w:val="clear" w:pos="709"/>
          <w:tab w:val="left" w:pos="426" w:leader="none"/>
        </w:tabs>
        <w:spacing w:before="120" w:after="240"/>
        <w:jc w:val="both"/>
        <w:rPr>
          <w:rFonts w:eastAsia="Calibri"/>
          <w:bCs/>
          <w:i/>
          <w:i/>
          <w:color w:val="000000" w:themeColor="text1"/>
          <w:sz w:val="24"/>
          <w:szCs w:val="24"/>
          <w:highlight w:val="none"/>
        </w:rPr>
      </w:pPr>
      <w:r>
        <w:rPr>
          <w:rFonts w:eastAsia="Calibri"/>
          <w:i/>
          <w:color w:val="000000" w:themeColor="text1"/>
          <w:sz w:val="24"/>
          <w:szCs w:val="24"/>
          <w:highlight w:val="white"/>
        </w:rPr>
        <w:t>Отсутствует</w:t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  <w:color w:val="000000" w:themeColor="text1"/>
          <w:sz w:val="24"/>
          <w:szCs w:val="24"/>
        </w:rPr>
      </w:pPr>
      <w:bookmarkStart w:id="7" w:name="_Toc50125126"/>
      <w:bookmarkStart w:id="8" w:name="_Toc161133577"/>
      <w:bookmarkStart w:id="9" w:name="_Toc51339693"/>
      <w:bookmarkEnd w:id="7"/>
      <w:r>
        <w:rPr>
          <w:iCs/>
          <w:color w:val="000000" w:themeColor="text1"/>
          <w:sz w:val="24"/>
          <w:szCs w:val="24"/>
        </w:rPr>
        <w:t>Требования к продукции</w:t>
      </w:r>
      <w:bookmarkEnd w:id="8"/>
      <w:bookmarkEnd w:id="9"/>
    </w:p>
    <w:p>
      <w:pPr>
        <w:pStyle w:val="Heading4"/>
        <w:numPr>
          <w:ilvl w:val="1"/>
          <w:numId w:val="3"/>
        </w:numPr>
        <w:rPr>
          <w:color w:val="000000" w:themeColor="text1"/>
        </w:rPr>
      </w:pPr>
      <w:bookmarkStart w:id="10" w:name="_Toc161133578"/>
      <w:r>
        <w:rPr>
          <w:color w:val="000000" w:themeColor="text1"/>
        </w:rPr>
        <w:t xml:space="preserve">Требования к объемам и срокам </w:t>
      </w:r>
      <w:r>
        <w:rPr>
          <w:color w:val="000000" w:themeColor="text1"/>
          <w:lang w:val="ru-RU"/>
        </w:rPr>
        <w:t>поставки</w:t>
      </w:r>
      <w:bookmarkEnd w:id="10"/>
    </w:p>
    <w:p>
      <w:pPr>
        <w:pStyle w:val="Heading3"/>
        <w:numPr>
          <w:ilvl w:val="2"/>
          <w:numId w:val="3"/>
        </w:numPr>
        <w:ind w:left="0" w:right="0" w:hanging="0"/>
        <w:rPr>
          <w:color w:val="000000" w:themeColor="text1"/>
        </w:rPr>
      </w:pPr>
      <w:bookmarkStart w:id="11" w:name="_Toc161133579"/>
      <w:r>
        <w:rPr>
          <w:color w:val="000000" w:themeColor="text1"/>
          <w:lang w:val="ru-RU"/>
        </w:rPr>
        <w:t>Перечень и объем закупаемой продукции</w:t>
      </w:r>
      <w:bookmarkEnd w:id="11"/>
    </w:p>
    <w:p>
      <w:pPr>
        <w:pStyle w:val="Normal"/>
        <w:widowControl w:val="false"/>
        <w:tabs>
          <w:tab w:val="clear" w:pos="709"/>
          <w:tab w:val="left" w:pos="426" w:leader="none"/>
        </w:tabs>
        <w:spacing w:before="120" w:after="120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</w:rPr>
        <w:t>Перечень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необходимой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к поставке продукции, функциональные характеристики (потребительские свойства), количественные, качественные характеристики продукции и место поставки приведены в  Приложении №1  к настоящим Техническим требованиям. </w:t>
      </w:r>
    </w:p>
    <w:p>
      <w:pPr>
        <w:pStyle w:val="Heading3"/>
        <w:numPr>
          <w:ilvl w:val="2"/>
          <w:numId w:val="3"/>
        </w:numPr>
        <w:ind w:left="0" w:right="0" w:hanging="0"/>
        <w:rPr>
          <w:color w:val="000000" w:themeColor="text1"/>
        </w:rPr>
      </w:pPr>
      <w:bookmarkStart w:id="12" w:name="_Toc161133584"/>
      <w:bookmarkStart w:id="13" w:name="_Toc51339696"/>
      <w:r>
        <w:rPr>
          <w:color w:val="000000" w:themeColor="text1"/>
          <w:lang w:val="ru-RU"/>
        </w:rPr>
        <w:t xml:space="preserve">Требования </w:t>
      </w:r>
      <w:bookmarkEnd w:id="13"/>
      <w:r>
        <w:rPr>
          <w:color w:val="000000" w:themeColor="text1"/>
          <w:lang w:val="ru-RU"/>
        </w:rPr>
        <w:t>к срокам поставки продукции и оказания сопутствующих услуг</w:t>
      </w:r>
      <w:bookmarkEnd w:id="12"/>
    </w:p>
    <w:p>
      <w:pPr>
        <w:pStyle w:val="Normal"/>
        <w:numPr>
          <w:ilvl w:val="0"/>
          <w:numId w:val="0"/>
        </w:numPr>
        <w:spacing w:before="60" w:after="60"/>
        <w:ind w:left="0" w:hanging="0"/>
        <w:rPr>
          <w:color w:val="000000" w:themeColor="text1"/>
          <w:sz w:val="24"/>
          <w:szCs w:val="24"/>
          <w:highlight w:val="none"/>
        </w:rPr>
      </w:pPr>
      <w:bookmarkStart w:id="14" w:name="_Toc50125126"/>
      <w:bookmarkStart w:id="15" w:name="_Toc161133585"/>
      <w:bookmarkStart w:id="16" w:name="_Toc51339697"/>
      <w:bookmarkStart w:id="17" w:name="_Toc50125127"/>
      <w:bookmarkEnd w:id="14"/>
      <w:r>
        <w:rPr>
          <w:color w:val="000000" w:themeColor="text1"/>
          <w:sz w:val="24"/>
          <w:szCs w:val="24"/>
        </w:rPr>
        <w:t>Таблица 1.</w:t>
      </w:r>
      <w:r>
        <w:rPr>
          <w:color w:val="000000" w:themeColor="text1"/>
          <w:sz w:val="24"/>
          <w:szCs w:val="24"/>
          <w:lang w:val="ru-RU"/>
        </w:rPr>
        <w:t>1</w:t>
      </w:r>
      <w:r>
        <w:rPr>
          <w:color w:val="000000" w:themeColor="text1"/>
          <w:sz w:val="24"/>
          <w:szCs w:val="24"/>
        </w:rPr>
        <w:t xml:space="preserve"> </w:t>
      </w:r>
      <w:bookmarkStart w:id="18" w:name="_Hlk50465284"/>
      <w:r>
        <w:rPr>
          <w:color w:val="000000" w:themeColor="text1"/>
          <w:sz w:val="24"/>
          <w:szCs w:val="24"/>
        </w:rPr>
        <w:t xml:space="preserve">Требования по срокам </w:t>
      </w:r>
      <w:bookmarkEnd w:id="16"/>
      <w:bookmarkEnd w:id="17"/>
      <w:bookmarkEnd w:id="18"/>
      <w:r>
        <w:rPr>
          <w:color w:val="000000" w:themeColor="text1"/>
          <w:sz w:val="24"/>
          <w:szCs w:val="24"/>
          <w:lang w:val="ru-RU"/>
        </w:rPr>
        <w:t>поставки продукции</w:t>
      </w:r>
      <w:bookmarkEnd w:id="15"/>
      <w:r>
        <w:rPr>
          <w:color w:val="000000" w:themeColor="text1"/>
          <w:sz w:val="24"/>
          <w:szCs w:val="24"/>
          <w:lang w:val="ru-RU"/>
        </w:rPr>
        <w:t xml:space="preserve">  </w:t>
      </w:r>
    </w:p>
    <w:tbl>
      <w:tblPr>
        <w:tblW w:w="1222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5"/>
        <w:gridCol w:w="5993"/>
        <w:gridCol w:w="2552"/>
        <w:gridCol w:w="2834"/>
      </w:tblGrid>
      <w:tr>
        <w:trPr/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№ </w:t>
            </w:r>
            <w:r>
              <w:rPr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Наименование продукции / партии продукции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Требования к началу срока поставки продукции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Требования к окончанию срока поставки продукции</w:t>
            </w:r>
          </w:p>
        </w:tc>
      </w:tr>
      <w:tr>
        <w:trPr>
          <w:trHeight w:val="433" w:hRule="atLeast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>
        <w:trPr>
          <w:trHeight w:val="459" w:hRule="atLeast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 w:themeColor="text1"/>
                <w:sz w:val="20"/>
                <w:szCs w:val="20"/>
                <w:lang w:val="en-US"/>
                <w14:ligatures w14:val="none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ОКПД2 26.30.11 Поставка оборудования средств диспетчерского и технологического управления для АО «ДГК» в г. Артеме, Приморский край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с даты заключения договора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color w:val="000000" w:themeColor="text1"/>
                <w:sz w:val="20"/>
                <w:szCs w:val="20"/>
              </w:rPr>
              <w:t>в течение 60 (Шестьдесят) календарных дней с даты заключения договора</w:t>
            </w:r>
          </w:p>
        </w:tc>
      </w:tr>
    </w:tbl>
    <w:p>
      <w:pPr>
        <w:pStyle w:val="Heading1"/>
        <w:numPr>
          <w:ilvl w:val="0"/>
          <w:numId w:val="0"/>
        </w:numPr>
        <w:ind w:left="0" w:hanging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Heading1"/>
        <w:numPr>
          <w:ilvl w:val="0"/>
          <w:numId w:val="0"/>
        </w:numPr>
        <w:ind w:left="0" w:hanging="0"/>
        <w:rPr>
          <w:color w:val="000000" w:themeColor="text1"/>
          <w:sz w:val="24"/>
          <w:szCs w:val="24"/>
          <w:highlight w:val="none"/>
        </w:rPr>
      </w:pPr>
      <w:bookmarkStart w:id="19" w:name="_Toc161133586"/>
      <w:r>
        <w:rPr>
          <w:color w:val="000000" w:themeColor="text1"/>
          <w:sz w:val="24"/>
          <w:szCs w:val="24"/>
        </w:rPr>
        <w:t>Таблица 1.</w:t>
      </w:r>
      <w:r>
        <w:rPr>
          <w:color w:val="000000" w:themeColor="text1"/>
          <w:sz w:val="24"/>
          <w:szCs w:val="24"/>
          <w:lang w:val="ru-RU"/>
        </w:rPr>
        <w:t>2</w:t>
      </w:r>
      <w:r>
        <w:rPr>
          <w:color w:val="000000" w:themeColor="text1"/>
          <w:sz w:val="24"/>
          <w:szCs w:val="24"/>
        </w:rPr>
        <w:t xml:space="preserve"> Требования по срокам </w:t>
      </w:r>
      <w:r>
        <w:rPr>
          <w:color w:val="000000" w:themeColor="text1"/>
          <w:sz w:val="24"/>
          <w:szCs w:val="24"/>
          <w:lang w:val="ru-RU"/>
        </w:rPr>
        <w:t xml:space="preserve">оказания </w:t>
      </w:r>
      <w:r>
        <w:rPr>
          <w:color w:val="000000" w:themeColor="text1"/>
          <w:sz w:val="24"/>
          <w:szCs w:val="24"/>
        </w:rPr>
        <w:t>сопутствующих услуг</w:t>
      </w:r>
      <w:bookmarkEnd w:id="19"/>
    </w:p>
    <w:tbl>
      <w:tblPr>
        <w:tblW w:w="1408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"/>
        <w:gridCol w:w="982"/>
        <w:gridCol w:w="2127"/>
        <w:gridCol w:w="2267"/>
        <w:gridCol w:w="2551"/>
        <w:gridCol w:w="2274"/>
        <w:gridCol w:w="3"/>
        <w:gridCol w:w="3869"/>
      </w:tblGrid>
      <w:tr>
        <w:trPr/>
        <w:tc>
          <w:tcPr>
            <w:tcW w:w="5" w:type="dxa"/>
            <w:tcBorders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/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№ </w:t>
            </w:r>
            <w:r>
              <w:rPr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Наименование услуг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Требования к началу срока оказания услуг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Требования к окончанию срока оказания услуг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Примечание</w:t>
            </w:r>
          </w:p>
        </w:tc>
        <w:tc>
          <w:tcPr>
            <w:tcW w:w="3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86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" w:type="dxa"/>
            <w:tcBorders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/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4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spacing w:before="40" w:after="40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5</w:t>
            </w:r>
          </w:p>
        </w:tc>
        <w:tc>
          <w:tcPr>
            <w:tcW w:w="3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86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5" w:type="dxa"/>
            <w:tcBorders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color w:val="000000" w:themeColor="text1"/>
                <w:sz w:val="24"/>
                <w:szCs w:val="24"/>
              </w:rPr>
            </w:pPr>
            <w:r>
              <w:rPr/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9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0"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Не требуется</w:t>
            </w:r>
          </w:p>
        </w:tc>
        <w:tc>
          <w:tcPr>
            <w:tcW w:w="3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869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eastAsia="Times New Roman" w:cs="Times New Roman"/>
          <w:color w:val="000000" w:themeColor="text1"/>
          <w:sz w:val="24"/>
          <w:szCs w:val="24"/>
        </w:rPr>
      </w:r>
    </w:p>
    <w:tbl>
      <w:tblPr>
        <w:tblStyle w:val="905"/>
        <w:tblW w:w="15285" w:type="dxa"/>
        <w:jc w:val="left"/>
        <w:tblInd w:w="-1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5285"/>
      </w:tblGrid>
      <w:tr>
        <w:trPr>
          <w:trHeight w:val="3013" w:hRule="atLeast"/>
        </w:trPr>
        <w:tc>
          <w:tcPr>
            <w:tcW w:w="15285" w:type="dxa"/>
            <w:tcBorders>
              <w:left w:val="nil"/>
              <w:right w:val="nil"/>
            </w:tcBorders>
            <w:vAlign w:val="center"/>
          </w:tcPr>
          <w:p>
            <w:pPr>
              <w:pStyle w:val="Heading1"/>
              <w:widowControl/>
              <w:numPr>
                <w:ilvl w:val="0"/>
                <w:numId w:val="0"/>
              </w:numPr>
              <w:spacing w:before="120" w:after="60"/>
              <w:ind w:left="142" w:right="-86"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szCs w:val="24"/>
                <w:u w:val="none"/>
                <w:vertAlign w:val="baseline"/>
                <w:lang w:val="ru-RU" w:eastAsia="ru-RU" w:bidi="ar-SA"/>
              </w:rPr>
              <w:t xml:space="preserve">Таблица 3. Дополнительные требования к продукции </w:t>
            </w:r>
          </w:p>
          <w:tbl>
            <w:tblPr>
              <w:tblStyle w:val="905"/>
              <w:tblW w:w="15293" w:type="dxa"/>
              <w:jc w:val="left"/>
              <w:tblInd w:w="34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657"/>
              <w:gridCol w:w="4819"/>
              <w:gridCol w:w="3279"/>
              <w:gridCol w:w="1881"/>
              <w:gridCol w:w="2236"/>
              <w:gridCol w:w="2420"/>
            </w:tblGrid>
            <w:tr>
              <w:trPr>
                <w:trHeight w:val="505" w:hRule="atLeast"/>
              </w:trPr>
              <w:tc>
                <w:tcPr>
                  <w:tcW w:w="657" w:type="dxa"/>
                  <w:vMerge w:val="restart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№ </w:t>
                  </w: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п/п</w:t>
                  </w:r>
                </w:p>
              </w:tc>
              <w:tc>
                <w:tcPr>
                  <w:tcW w:w="4819" w:type="dxa"/>
                  <w:vMerge w:val="restart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ind w:right="0" w:hanging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Наименование параметра</w:t>
                  </w:r>
                </w:p>
              </w:tc>
              <w:tc>
                <w:tcPr>
                  <w:tcW w:w="3279" w:type="dxa"/>
                  <w:vMerge w:val="restart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ind w:right="0" w:hanging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Требование заказчика</w:t>
                  </w:r>
                </w:p>
              </w:tc>
              <w:tc>
                <w:tcPr>
                  <w:tcW w:w="4117" w:type="dxa"/>
                  <w:gridSpan w:val="2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ind w:right="0" w:hanging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Способ подтверждения участником соответствия требованиям</w:t>
                  </w:r>
                </w:p>
              </w:tc>
              <w:tc>
                <w:tcPr>
                  <w:tcW w:w="2420" w:type="dxa"/>
                  <w:vMerge w:val="restart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ind w:left="0" w:right="0" w:hanging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Предложение участника по характеристикам и параметрам</w:t>
                  </w:r>
                </w:p>
              </w:tc>
            </w:tr>
            <w:tr>
              <w:trPr>
                <w:trHeight w:val="1240" w:hRule="atLeast"/>
              </w:trPr>
              <w:tc>
                <w:tcPr>
                  <w:tcW w:w="657" w:type="dxa"/>
                  <w:vMerge w:val="continue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left"/>
                    <w:rPr>
                      <w:kern w:val="0"/>
                      <w:lang w:val="ru-RU" w:eastAsia="ru-RU" w:bidi="ar-SA"/>
                    </w:rPr>
                  </w:pPr>
                  <w:r>
                    <w:rPr>
                      <w:kern w:val="0"/>
                      <w:lang w:val="ru-RU" w:eastAsia="ru-RU" w:bidi="ar-SA"/>
                    </w:rPr>
                  </w:r>
                </w:p>
              </w:tc>
              <w:tc>
                <w:tcPr>
                  <w:tcW w:w="4819" w:type="dxa"/>
                  <w:vMerge w:val="continue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left"/>
                    <w:rPr>
                      <w:kern w:val="0"/>
                      <w:lang w:val="ru-RU" w:eastAsia="ru-RU" w:bidi="ar-SA"/>
                    </w:rPr>
                  </w:pPr>
                  <w:r>
                    <w:rPr>
                      <w:kern w:val="0"/>
                      <w:lang w:val="ru-RU" w:eastAsia="ru-RU" w:bidi="ar-SA"/>
                    </w:rPr>
                  </w:r>
                </w:p>
              </w:tc>
              <w:tc>
                <w:tcPr>
                  <w:tcW w:w="3279" w:type="dxa"/>
                  <w:vMerge w:val="continue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left"/>
                    <w:rPr>
                      <w:kern w:val="0"/>
                      <w:lang w:val="ru-RU" w:eastAsia="ru-RU" w:bidi="ar-SA"/>
                    </w:rPr>
                  </w:pPr>
                  <w:r>
                    <w:rPr>
                      <w:kern w:val="0"/>
                      <w:lang w:val="ru-RU" w:eastAsia="ru-RU" w:bidi="ar-SA"/>
                    </w:rPr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Согласие с требованием/ указание характеристик</w:t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b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Предоставление подтверждающего документа или иной способ подтверждения</w:t>
                  </w:r>
                </w:p>
              </w:tc>
              <w:tc>
                <w:tcPr>
                  <w:tcW w:w="2420" w:type="dxa"/>
                  <w:vMerge w:val="continue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left"/>
                    <w:rPr>
                      <w:kern w:val="0"/>
                      <w:lang w:val="ru-RU" w:eastAsia="ru-RU" w:bidi="ar-SA"/>
                    </w:rPr>
                  </w:pPr>
                  <w:r>
                    <w:rPr>
                      <w:kern w:val="0"/>
                      <w:lang w:val="ru-RU" w:eastAsia="ru-RU" w:bidi="ar-SA"/>
                    </w:rPr>
                  </w:r>
                </w:p>
              </w:tc>
            </w:tr>
            <w:tr>
              <w:trPr>
                <w:trHeight w:val="304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60" w:after="6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1</w:t>
                  </w:r>
                </w:p>
              </w:tc>
              <w:tc>
                <w:tcPr>
                  <w:tcW w:w="4819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2</w:t>
                  </w:r>
                </w:p>
              </w:tc>
              <w:tc>
                <w:tcPr>
                  <w:tcW w:w="3279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3</w:t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4</w:t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5</w:t>
                  </w:r>
                </w:p>
              </w:tc>
              <w:tc>
                <w:tcPr>
                  <w:tcW w:w="2420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kern w:val="0"/>
                      <w:sz w:val="24"/>
                      <w:szCs w:val="24"/>
                      <w:lang w:val="ru-RU" w:eastAsia="ru-RU" w:bidi="ar-SA"/>
                    </w:rPr>
                    <w:t>6</w:t>
                  </w:r>
                </w:p>
              </w:tc>
            </w:tr>
            <w:tr>
              <w:trPr>
                <w:trHeight w:val="480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ListParagraph"/>
                    <w:widowControl/>
                    <w:numPr>
                      <w:ilvl w:val="0"/>
                      <w:numId w:val="6"/>
                    </w:numPr>
                    <w:spacing w:before="60" w:after="60"/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  <w:tc>
                <w:tcPr>
                  <w:tcW w:w="8098" w:type="dxa"/>
                  <w:gridSpan w:val="2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60" w:after="60"/>
                    <w:jc w:val="left"/>
                    <w:rPr>
                      <w:b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b/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Требования к безопасности</w:t>
                  </w:r>
                </w:p>
              </w:tc>
              <w:tc>
                <w:tcPr>
                  <w:tcW w:w="1881" w:type="dxa"/>
                  <w:tcBorders/>
                </w:tcPr>
                <w:p>
                  <w:pPr>
                    <w:pStyle w:val="Normal"/>
                    <w:widowControl/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</w:tr>
            <w:tr>
              <w:trPr>
                <w:trHeight w:val="1976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ListParagraph"/>
                    <w:widowControl/>
                    <w:spacing w:before="60" w:after="60"/>
                    <w:ind w:left="0" w:right="0" w:hanging="0"/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1.1</w:t>
                  </w:r>
                </w:p>
              </w:tc>
              <w:tc>
                <w:tcPr>
                  <w:tcW w:w="4819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60" w:after="6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Требования безопасности, характеризующие конструктивно-технические особенности оборудования, обеспечивающие безопасность персонала, местного населения, сопрягаемых и других близко расположенных объектов, а также окружающей среды при эксплуатации и утилизации оборудования</w:t>
                  </w:r>
                </w:p>
              </w:tc>
              <w:tc>
                <w:tcPr>
                  <w:tcW w:w="3279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60" w:after="6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Все поставляемое оборудование должно отвечать требованием Технического регламента таможенного союза ТР ТС 004/2011 “О безопасности низковольтного оборудования” от 16.08.2011</w:t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kern w:val="0"/>
                      <w:sz w:val="24"/>
                      <w:szCs w:val="24"/>
                      <w:lang w:val="ru-RU" w:eastAsia="ru-RU" w:bidi="ar-SA"/>
                    </w:rPr>
                    <w:t>Согласие с требованием</w:t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“</w:t>
                  </w: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-”</w:t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color w:val="FF0000"/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</w:tr>
            <w:tr>
              <w:trPr>
                <w:trHeight w:val="441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60" w:after="60"/>
                    <w:ind w:left="0" w:right="0" w:hanging="0"/>
                    <w:jc w:val="center"/>
                    <w:rPr>
                      <w:sz w:val="24"/>
                      <w:szCs w:val="24"/>
                      <w:highlight w:val="none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2.</w:t>
                  </w:r>
                </w:p>
              </w:tc>
              <w:tc>
                <w:tcPr>
                  <w:tcW w:w="8098" w:type="dxa"/>
                  <w:gridSpan w:val="2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60" w:after="60"/>
                    <w:jc w:val="left"/>
                    <w:rPr>
                      <w:b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b/>
                      <w:kern w:val="0"/>
                      <w:sz w:val="24"/>
                      <w:szCs w:val="24"/>
                      <w:lang w:val="ru-RU" w:eastAsia="ru-RU" w:bidi="ar-SA"/>
                    </w:rPr>
                    <w:t>Прочие (дополнительные) требования к продукции:</w:t>
                  </w:r>
                </w:p>
              </w:tc>
              <w:tc>
                <w:tcPr>
                  <w:tcW w:w="1881" w:type="dxa"/>
                  <w:tcBorders/>
                </w:tcPr>
                <w:p>
                  <w:pPr>
                    <w:pStyle w:val="Normal"/>
                    <w:widowControl/>
                    <w:spacing w:before="60" w:after="6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</w:tr>
            <w:tr>
              <w:trPr>
                <w:trHeight w:val="310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60" w:after="60"/>
                    <w:ind w:left="0" w:right="0" w:hanging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2.1.</w:t>
                  </w:r>
                </w:p>
              </w:tc>
              <w:tc>
                <w:tcPr>
                  <w:tcW w:w="4819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Требования к порядку поставки</w:t>
                  </w:r>
                </w:p>
              </w:tc>
              <w:tc>
                <w:tcPr>
                  <w:tcW w:w="3279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lineRule="auto" w:line="276" w:before="0" w:after="0"/>
                    <w:contextualSpacing/>
                    <w:jc w:val="left"/>
                    <w:rPr>
                      <w:sz w:val="24"/>
                      <w:szCs w:val="24"/>
                      <w:highlight w:val="none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Все поставляемое оборудование должно быть новым, не бывшим в употреблении, соответствовать требованиям технического задания и выпускаться серийно. </w:t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kern w:val="0"/>
                      <w:sz w:val="24"/>
                      <w:szCs w:val="24"/>
                      <w:lang w:val="ru-RU" w:eastAsia="ru-RU" w:bidi="ar-SA"/>
                    </w:rPr>
                    <w:t>Согласие с требованием</w:t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“</w:t>
                  </w: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-”</w:t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</w:tr>
            <w:tr>
              <w:trPr>
                <w:trHeight w:val="816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60" w:after="60"/>
                    <w:ind w:left="0" w:right="0" w:hanging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2.2.</w:t>
                  </w:r>
                </w:p>
              </w:tc>
              <w:tc>
                <w:tcPr>
                  <w:tcW w:w="4819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Требования к году изготовления оборудования</w:t>
                  </w:r>
                </w:p>
              </w:tc>
              <w:tc>
                <w:tcPr>
                  <w:tcW w:w="3279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Год изготовления – не ранее 2025г.</w:t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kern w:val="0"/>
                      <w:sz w:val="24"/>
                      <w:szCs w:val="24"/>
                      <w:lang w:val="ru-RU" w:eastAsia="ru-RU" w:bidi="ar-SA"/>
                    </w:rPr>
                    <w:t>Согласие с требованием</w:t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“</w:t>
                  </w: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-”</w:t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</w:tr>
            <w:tr>
              <w:trPr>
                <w:trHeight w:val="419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60" w:after="60"/>
                    <w:ind w:left="0" w:right="0" w:hanging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 xml:space="preserve">3. </w:t>
                  </w:r>
                </w:p>
              </w:tc>
              <w:tc>
                <w:tcPr>
                  <w:tcW w:w="8098" w:type="dxa"/>
                  <w:gridSpan w:val="2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b/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Требования к отдельным обязательствам поставщика по договору:</w:t>
                  </w:r>
                </w:p>
              </w:tc>
              <w:tc>
                <w:tcPr>
                  <w:tcW w:w="1881" w:type="dxa"/>
                  <w:tcBorders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60" w:after="60"/>
                    <w:ind w:left="0" w:right="0" w:hanging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3.1.</w:t>
                  </w:r>
                </w:p>
              </w:tc>
              <w:tc>
                <w:tcPr>
                  <w:tcW w:w="4819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Требования к гарантиям, гарантийному и послегарантийному обслуживанию</w:t>
                  </w:r>
                </w:p>
              </w:tc>
              <w:tc>
                <w:tcPr>
                  <w:tcW w:w="327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ind w:right="126" w:hanging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Гарантийные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обязательства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действуют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в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течение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не менее 12 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(</w:t>
                  </w:r>
                  <w:r>
                    <w:rPr>
                      <w:rFonts w:cs="Times New Roman"/>
                      <w:kern w:val="0"/>
                      <w:sz w:val="24"/>
                      <w:szCs w:val="24"/>
                      <w:lang w:val="ru-RU" w:eastAsia="ru-RU" w:bidi="ar-SA"/>
                    </w:rPr>
                    <w:t>двенадцати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)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месяцев с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даты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подписания</w:t>
                  </w:r>
                  <w:bookmarkStart w:id="20" w:name="undefined"/>
                  <w:bookmarkEnd w:id="20"/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УПД / ТОРГ-12.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ind w:right="0" w:hanging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Транспортные расходы, связанные с исполнением гарантийных обязательств, возлагаются</w:t>
                  </w:r>
                  <w:r>
                    <w:rPr>
                      <w:spacing w:val="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spacing w:val="-1"/>
                      <w:kern w:val="0"/>
                      <w:sz w:val="24"/>
                      <w:szCs w:val="24"/>
                      <w:lang w:val="ru-RU" w:eastAsia="en-US" w:bidi="ar-SA"/>
                    </w:rPr>
                    <w:t>на</w:t>
                  </w:r>
                  <w:r>
                    <w:rPr>
                      <w:spacing w:val="-14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spacing w:val="-1"/>
                      <w:kern w:val="0"/>
                      <w:sz w:val="24"/>
                      <w:szCs w:val="24"/>
                      <w:lang w:val="ru-RU" w:eastAsia="en-US" w:bidi="ar-SA"/>
                    </w:rPr>
                    <w:t>Поставщика.</w:t>
                  </w:r>
                </w:p>
                <w:p>
                  <w:pPr>
                    <w:pStyle w:val="Normal"/>
                    <w:widowControl w:val="false"/>
                    <w:spacing w:before="0" w:after="0"/>
                    <w:ind w:right="127" w:hanging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pacing w:val="-1"/>
                      <w:kern w:val="0"/>
                      <w:sz w:val="24"/>
                      <w:szCs w:val="24"/>
                      <w:lang w:val="ru-RU" w:eastAsia="en-US" w:bidi="ar-SA"/>
                    </w:rPr>
                    <w:t>Послегарантийное обслуживание договором не предусмотрено.</w:t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kern w:val="0"/>
                      <w:sz w:val="24"/>
                      <w:szCs w:val="24"/>
                      <w:lang w:val="ru-RU" w:eastAsia="ru-RU" w:bidi="ar-SA"/>
                    </w:rPr>
                    <w:t>Согласие с требованием</w:t>
                  </w:r>
                </w:p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“</w:t>
                  </w: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-”</w:t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</w:tr>
            <w:tr>
              <w:trPr>
                <w:trHeight w:val="672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60" w:after="60"/>
                    <w:ind w:left="-142" w:right="0" w:hanging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3.2.</w:t>
                  </w:r>
                </w:p>
              </w:tc>
              <w:tc>
                <w:tcPr>
                  <w:tcW w:w="4819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Требования к документам, передаваемым вместе с оборудованием (на этапе исполнения договора)</w:t>
                  </w:r>
                </w:p>
              </w:tc>
              <w:tc>
                <w:tcPr>
                  <w:tcW w:w="327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ind w:right="126" w:hanging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>в соответствии с п. 3.3 Проекта договора (Приложение № 2 к Документации о закупке)</w:t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kern w:val="0"/>
                      <w:sz w:val="24"/>
                      <w:szCs w:val="24"/>
                      <w:lang w:val="ru-RU" w:eastAsia="ru-RU" w:bidi="ar-SA"/>
                    </w:rPr>
                    <w:t>Согласие с требованием</w:t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“</w:t>
                  </w: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-”</w:t>
                  </w:r>
                </w:p>
              </w:tc>
              <w:tc>
                <w:tcPr>
                  <w:tcW w:w="2420" w:type="dxa"/>
                  <w:tcBorders/>
                </w:tcPr>
                <w:p>
                  <w:pPr>
                    <w:pStyle w:val="Normal"/>
                    <w:widowControl/>
                    <w:spacing w:before="0" w:after="0"/>
                    <w:ind w:left="0" w:right="317" w:hanging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</w:tr>
            <w:tr>
              <w:trPr>
                <w:trHeight w:val="355" w:hRule="atLeast"/>
              </w:trPr>
              <w:tc>
                <w:tcPr>
                  <w:tcW w:w="657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60" w:after="60"/>
                    <w:ind w:left="-142" w:right="0" w:hanging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3.3.</w:t>
                  </w:r>
                </w:p>
              </w:tc>
              <w:tc>
                <w:tcPr>
                  <w:tcW w:w="4819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  <w:t>Требования к доставке,  маркировке, упаковке, транспортировке, перемещению, условиям хранения, приемке</w:t>
                  </w:r>
                </w:p>
              </w:tc>
              <w:tc>
                <w:tcPr>
                  <w:tcW w:w="3279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before="0" w:after="0"/>
                    <w:ind w:right="126" w:hanging="0"/>
                    <w:jc w:val="left"/>
                    <w:rPr>
                      <w:color w:val="000000"/>
                      <w:sz w:val="24"/>
                      <w:szCs w:val="24"/>
                      <w:highlight w:val="white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в соответствии с разделом </w:t>
                  </w:r>
                  <w:r>
                    <w:rPr>
                      <w:color w:val="000000" w:themeColor="text1"/>
                      <w:kern w:val="0"/>
                      <w:sz w:val="24"/>
                      <w:szCs w:val="24"/>
                      <w:highlight w:val="white"/>
                      <w:lang w:val="ru-RU" w:eastAsia="en-US" w:bidi="ar-SA"/>
                    </w:rPr>
                    <w:t>3 Проекта договора (Приложение 2 к документации о закупке)</w:t>
                  </w:r>
                </w:p>
              </w:tc>
              <w:tc>
                <w:tcPr>
                  <w:tcW w:w="1881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kern w:val="0"/>
                      <w:sz w:val="24"/>
                      <w:szCs w:val="24"/>
                      <w:lang w:val="ru-RU" w:eastAsia="ru-RU" w:bidi="ar-SA"/>
                    </w:rPr>
                    <w:t>Согласие с требованием</w:t>
                  </w:r>
                </w:p>
              </w:tc>
              <w:tc>
                <w:tcPr>
                  <w:tcW w:w="2236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“</w:t>
                  </w:r>
                  <w:r>
                    <w:rPr>
                      <w:kern w:val="0"/>
                      <w:sz w:val="24"/>
                      <w:szCs w:val="24"/>
                      <w:lang w:val="en-US" w:eastAsia="ru-RU" w:bidi="ar-SA"/>
                    </w:rPr>
                    <w:t>-”</w:t>
                  </w:r>
                </w:p>
              </w:tc>
              <w:tc>
                <w:tcPr>
                  <w:tcW w:w="2420" w:type="dxa"/>
                  <w:tcBorders/>
                  <w:vAlign w:val="center"/>
                </w:tcPr>
                <w:p>
                  <w:pPr>
                    <w:pStyle w:val="Normal"/>
                    <w:widowControl/>
                    <w:spacing w:before="0"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  <w:lang w:val="ru-RU" w:eastAsia="ru-RU" w:bidi="ar-SA"/>
                    </w:rPr>
                  </w:r>
                </w:p>
              </w:tc>
            </w:tr>
          </w:tbl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905"/>
        <w:tblW w:w="15166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57"/>
        <w:gridCol w:w="4752"/>
        <w:gridCol w:w="1287"/>
        <w:gridCol w:w="2973"/>
        <w:gridCol w:w="1836"/>
        <w:gridCol w:w="4260"/>
      </w:tblGrid>
      <w:tr>
        <w:trPr/>
        <w:tc>
          <w:tcPr>
            <w:tcW w:w="151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u w:val="none"/>
                <w:vertAlign w:val="baseline"/>
                <w:lang w:val="ru-RU" w:eastAsia="ru-RU" w:bidi="ar-SA"/>
              </w:rPr>
              <w:t>3.    Требования к документации по ценообразованию на этапе закупки</w:t>
            </w:r>
          </w:p>
        </w:tc>
      </w:tr>
      <w:tr>
        <w:trPr/>
        <w:tc>
          <w:tcPr>
            <w:tcW w:w="151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u w:val="none"/>
                <w:vertAlign w:val="baseline"/>
                <w:lang w:val="ru-RU" w:eastAsia="ru-RU" w:bidi="ar-SA"/>
              </w:rPr>
              <w:t>отсутствуют</w:t>
            </w:r>
          </w:p>
        </w:tc>
      </w:tr>
      <w:tr>
        <w:trPr/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109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u w:val="none"/>
                <w:vertAlign w:val="baseline"/>
                <w:lang w:val="ru-RU" w:eastAsia="ru-RU" w:bidi="ar-SA"/>
              </w:rPr>
              <w:t>4.    Требования к документации по ценообразованию на этапе заключения (исполнения) договора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151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u w:val="none"/>
                <w:vertAlign w:val="baseline"/>
                <w:lang w:val="ru-RU" w:eastAsia="ru-RU" w:bidi="ar-SA"/>
              </w:rPr>
              <w:t>отсутствуют</w:t>
            </w:r>
          </w:p>
        </w:tc>
      </w:tr>
      <w:tr>
        <w:trPr/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 w:val="false"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u w:val="none"/>
                <w:vertAlign w:val="baseline"/>
                <w:lang w:val="ru-RU" w:eastAsia="ru-RU" w:bidi="ar-SA"/>
              </w:rPr>
              <w:t>5.    Приложения</w:t>
            </w:r>
          </w:p>
        </w:tc>
        <w:tc>
          <w:tcPr>
            <w:tcW w:w="4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788" w:hRule="atLeast"/>
        </w:trPr>
        <w:tc>
          <w:tcPr>
            <w:tcW w:w="151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/>
                <w:strike w:val="false"/>
                <w:dstrike w:val="false"/>
                <w:color w:val="000000"/>
                <w:kern w:val="0"/>
                <w:position w:val="0"/>
                <w:sz w:val="24"/>
                <w:sz w:val="24"/>
                <w:u w:val="none"/>
                <w:vertAlign w:val="baseline"/>
                <w:lang w:val="ru-RU" w:eastAsia="ru-RU" w:bidi="ar-SA"/>
              </w:rPr>
              <w:t>Приложение №1 к Техническим требованиям - "Технические, функциональные характеристики (потребительские свойства), количественные, качественные характеристики продукции"</w:t>
            </w:r>
          </w:p>
        </w:tc>
      </w:tr>
      <w:tr>
        <w:trPr/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6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101" w:hRule="atLeast"/>
        </w:trPr>
        <w:tc>
          <w:tcPr>
            <w:tcW w:w="48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  <w:tr>
        <w:trPr>
          <w:trHeight w:val="780" w:hRule="atLeast"/>
        </w:trPr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</w:tr>
    </w:tbl>
    <w:p>
      <w:pPr>
        <w:pStyle w:val="Normal"/>
        <w:rPr>
          <w:color w:val="000000" w:themeColor="text1"/>
        </w:rPr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709" w:right="851" w:gutter="0" w:header="680" w:top="1134" w:footer="0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rPr>
                              <w:rStyle w:val="Pagenumber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0</w:t>
                          </w:r>
                          <w:r>
                            <w:rPr/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0</w:t>
                    </w:r>
                    <w:r>
                      <w:rPr/>
                      <w:fldChar w:fldCharType="end"/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47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qFormat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qFormat/>
    <w:pPr>
      <w:outlineLvl w:val="1"/>
    </w:pPr>
    <w:rPr/>
  </w:style>
  <w:style w:type="paragraph" w:styleId="Heading3">
    <w:name w:val="Heading 3"/>
    <w:basedOn w:val="Normal"/>
    <w:qFormat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qFormat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qFormat/>
    <w:rPr>
      <w:sz w:val="28"/>
    </w:rPr>
  </w:style>
  <w:style w:type="character" w:styleId="Style5" w:customStyle="1">
    <w:name w:val="Текст сноски Знак"/>
    <w:uiPriority w:val="99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qFormat/>
    <w:rPr>
      <w:sz w:val="26"/>
      <w:szCs w:val="26"/>
    </w:rPr>
  </w:style>
  <w:style w:type="character" w:styleId="31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Pr>
      <w:sz w:val="24"/>
      <w:szCs w:val="24"/>
    </w:rPr>
  </w:style>
  <w:style w:type="character" w:styleId="Style11" w:customStyle="1">
    <w:name w:val="Текст примечания Знак"/>
    <w:semiHidden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>
    <w:name w:val="Символ концевой сноски"/>
    <w:basedOn w:val="DefaultParagraphFont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qFormat/>
    <w:rPr>
      <w:b/>
      <w:sz w:val="28"/>
    </w:rPr>
  </w:style>
  <w:style w:type="character" w:styleId="12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qFormat/>
    <w:rPr>
      <w:sz w:val="16"/>
      <w:szCs w:val="16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tyle15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6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17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8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uiPriority w:val="99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uiPriority w:val="10"/>
    <w:qFormat/>
    <w:pPr>
      <w:jc w:val="center"/>
    </w:pPr>
    <w:rPr>
      <w:szCs w:val="20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0" w:customStyle="1">
    <w:name w:val="Подпункт"/>
    <w:basedOn w:val="Normal"/>
    <w:qFormat/>
    <w:pPr>
      <w:tabs>
        <w:tab w:val="clear" w:pos="709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qFormat/>
    <w:pPr>
      <w:keepNext w:val="true"/>
      <w:tabs>
        <w:tab w:val="clear" w:pos="709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uiPriority w:val="39"/>
    <w:pPr>
      <w:tabs>
        <w:tab w:val="clear" w:pos="709"/>
        <w:tab w:val="left" w:pos="560" w:leader="none"/>
        <w:tab w:val="right" w:pos="9923" w:leader="dot"/>
      </w:tabs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uiPriority w:val="39"/>
    <w:pPr>
      <w:ind w:left="280" w:hanging="0"/>
    </w:pPr>
    <w:rPr>
      <w:rFonts w:cs="Calibri" w:cstheme="minorHAnsi"/>
      <w:sz w:val="20"/>
      <w:szCs w:val="20"/>
    </w:rPr>
  </w:style>
  <w:style w:type="paragraph" w:styleId="Style21" w:customStyle="1">
    <w:name w:val="Раздел регламента"/>
    <w:basedOn w:val="Normal"/>
    <w:qFormat/>
    <w:pPr/>
    <w:rPr/>
  </w:style>
  <w:style w:type="paragraph" w:styleId="Style22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uiPriority w:val="39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3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4"/>
    <w:pPr/>
    <w:rPr/>
  </w:style>
  <w:style w:type="paragraph" w:styleId="TOCHeading">
    <w:name w:val="TOC Heading"/>
    <w:basedOn w:val="Heading1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uiPriority w:val="99"/>
    <w:unhideWhenUsed/>
    <w:qFormat/>
    <w:pPr/>
    <w:rPr>
      <w:rFonts w:eastAsia="Calibri"/>
      <w:sz w:val="24"/>
      <w:szCs w:val="24"/>
    </w:rPr>
  </w:style>
  <w:style w:type="paragraph" w:styleId="Style24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3" w:customStyle="1">
    <w:name w:val="List 3"/>
    <w:basedOn w:val="Normal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eastAsia="Calibri" w:ascii="Times New Roman" w:hAnsi="Times New Roman" w:cs="Arial Unicode MS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Noto Serif CJK SC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5" w:customStyle="1">
    <w:name w:val="Пункт"/>
    <w:basedOn w:val="Normal"/>
    <w:qFormat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6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7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8" w:customStyle="1">
    <w:name w:val="Подподпункт"/>
    <w:basedOn w:val="Style20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29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0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9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1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ConsNonformat" w:customStyle="1">
    <w:name w:val="ConsNonformat"/>
    <w:qFormat/>
    <w:pPr>
      <w:widowControl/>
      <w:bidi w:val="0"/>
      <w:spacing w:before="0" w:after="0"/>
      <w:jc w:val="left"/>
    </w:pPr>
    <w:rPr>
      <w:rFonts w:ascii="Courier New" w:hAnsi="Courier New" w:cs="Courier New" w:eastAsia="Noto Serif CJK SC"/>
      <w:color w:val="auto"/>
      <w:kern w:val="0"/>
      <w:sz w:val="20"/>
      <w:szCs w:val="20"/>
      <w:lang w:val="ru-RU" w:eastAsia="ru-RU" w:bidi="ar-SA"/>
    </w:rPr>
  </w:style>
  <w:style w:type="paragraph" w:styleId="ConsNormal" w:customStyle="1">
    <w:name w:val="ConsNormal"/>
    <w:qFormat/>
    <w:pPr>
      <w:keepNext w:val="false"/>
      <w:keepLines w:val="false"/>
      <w:pageBreakBefore w:val="false"/>
      <w:widowControl/>
      <w:pBdr/>
      <w:shd w:val="nil"/>
      <w:bidi w:val="0"/>
      <w:spacing w:lineRule="auto" w:line="240" w:beforeAutospacing="0" w:before="0" w:afterAutospacing="0" w:after="0"/>
      <w:ind w:left="0" w:right="0" w:firstLine="720"/>
      <w:jc w:val="left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4"/>
      <w:u w:val="none"/>
      <w:vertAlign w:val="baseline"/>
      <w:lang w:val="ru-RU" w:eastAsia="ru-RU" w:bidi="ar-SA"/>
      <w14:ligatures w14:val="none"/>
    </w:rPr>
  </w:style>
  <w:style w:type="paragraph" w:styleId="Main14" w:customStyle="1">
    <w:name w:val="Main 14"/>
    <w:uiPriority w:val="99"/>
    <w:qFormat/>
    <w:pPr>
      <w:keepNext w:val="false"/>
      <w:keepLines w:val="false"/>
      <w:pageBreakBefore w:val="false"/>
      <w:widowControl/>
      <w:pBdr/>
      <w:shd w:val="nil"/>
      <w:bidi w:val="0"/>
      <w:spacing w:lineRule="auto" w:line="312" w:beforeAutospacing="0" w:before="60" w:afterAutospacing="0" w:after="0"/>
      <w:ind w:left="0" w:right="0" w:firstLine="709"/>
      <w:jc w:val="both"/>
    </w:pPr>
    <w:rPr>
      <w:rFonts w:ascii="Times New Roman" w:hAnsi="Times New Roman" w:eastAsia="Batang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8"/>
      <w:sz w:val="28"/>
      <w:szCs w:val="28"/>
      <w:u w:val="none"/>
      <w:vertAlign w:val="baseline"/>
      <w:lang w:val="ru-RU" w:eastAsia="ko-KR" w:bidi="ar-SA"/>
      <w14:ligatures w14:val="none"/>
    </w:rPr>
  </w:style>
  <w:style w:type="paragraph" w:styleId="ConsTitle" w:customStyle="1">
    <w:name w:val="ConsTitle"/>
    <w:qFormat/>
    <w:pPr>
      <w:keepNext w:val="false"/>
      <w:keepLines w:val="false"/>
      <w:pageBreakBefore w:val="false"/>
      <w:widowControl/>
      <w:pBdr/>
      <w:shd w:val="nil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Arial" w:hAnsi="Arial" w:eastAsia="Times New Roman" w:cs="Arial"/>
      <w:b/>
      <w:bCs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16"/>
      <w:sz w:val="16"/>
      <w:szCs w:val="16"/>
      <w:u w:val="none"/>
      <w:vertAlign w:val="baseline"/>
      <w:lang w:val="ru-RU" w:eastAsia="ru-RU" w:bidi="ar-SA"/>
      <w14:ligatures w14:val="none"/>
    </w:rPr>
  </w:style>
  <w:style w:type="paragraph" w:styleId="Style3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</w:style>
  <w:style w:type="numbering" w:styleId="29" w:customStyle="1">
    <w:name w:val="Стиль2"/>
    <w:uiPriority w:val="9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46BA6-8C9E-4269-90CF-AFC3193D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AlterOffice/2025.3.1.0$Linux_X86_64 LibreOffice_project/431cd1b79110582f53535c95ed0a2449aadc8bf9</Application>
  <AppVersion>15.0000</AppVersion>
  <Pages>7</Pages>
  <Words>598</Words>
  <Characters>4187</Characters>
  <CharactersWithSpaces>4685</CharactersWithSpaces>
  <Paragraphs>124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2024-03-12T00:51:00Z</dcterms:created>
  <dc:creator>Быстров Олег Геннадьевич</dc:creator>
  <dc:description/>
  <dc:language>ru-RU</dc:language>
  <cp:lastModifiedBy>klyshko_ra@DGK.RU</cp:lastModifiedBy>
  <dcterms:modified xsi:type="dcterms:W3CDTF">2026-07-30T15:46:00Z</dcterms:modified>
  <cp:revision>42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